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/>
          <w:bCs/>
          <w:sz w:val="30"/>
          <w:szCs w:val="30"/>
        </w:rPr>
        <w:t>附件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四</w:t>
      </w:r>
    </w:p>
    <w:p>
      <w:pPr>
        <w:jc w:val="center"/>
        <w:rPr>
          <w:rFonts w:ascii="仿宋" w:hAnsi="仿宋" w:eastAsia="仿宋"/>
          <w:b/>
          <w:bCs w:val="0"/>
          <w:szCs w:val="32"/>
        </w:rPr>
      </w:pPr>
      <w:r>
        <w:rPr>
          <w:rFonts w:ascii="仿宋" w:hAnsi="仿宋" w:eastAsia="仿宋"/>
          <w:b/>
          <w:bCs w:val="0"/>
          <w:szCs w:val="32"/>
        </w:rPr>
        <w:t>五项技能竞赛决赛教学设计评价要素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一、科学性</w:t>
      </w:r>
      <w:bookmarkStart w:id="0" w:name="_GoBack"/>
      <w:bookmarkEnd w:id="0"/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体现新课程和新课标理念。目标设定体现课型特征且具体明确，能正确确定教学重难点。教学内容安排适度，教学要求把握适当。教学要点实施具有操作性，教学流程循序渐进，清晰合理。教学目标和手段协调一致。本学科基础知识准确，相关学科知识引用恰当，准确。没有知识性、常识性和科学性错误。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二、规范性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教学设计内容要有：教学目标、教学重点、教学难点、教材分析、学情分析、课型、教学时间分配、教学准备、教学方法、教学过程（含活动设计意图、学生活动预设、练习设计）等。教学资源及媒体运用合理。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三、创新性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教学设计，要具有鲜明个性特色，以学生为主体，灵活运用教学方法，突出自主性、合作性、探究性学习方式。突破教学难点的方法具有新颖性和实效性；学法指导具体得当，有创新；教材解读有独到合理的见解。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说明：学前教育、中职学校、高等院校教师的教学设计方案，可考虑其课程内容及教育教学方式的特殊性。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24D"/>
    <w:rsid w:val="004A06C7"/>
    <w:rsid w:val="005F224D"/>
    <w:rsid w:val="366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61</Words>
  <Characters>352</Characters>
  <Lines>2</Lines>
  <Paragraphs>1</Paragraphs>
  <TotalTime>0</TotalTime>
  <ScaleCrop>false</ScaleCrop>
  <LinksUpToDate>false</LinksUpToDate>
  <CharactersWithSpaces>412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2017-03-27T01:01:00Z</dcterms:created>
  <dc:creator>USER-</dc:creator>
  <cp:lastModifiedBy>Administrator</cp:lastModifiedBy>
  <dcterms:modified xsi:type="dcterms:W3CDTF">2019-03-07T00:16:35Z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